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160" w:lineRule="auto"/>
        <w:jc w:val="center"/>
        <w:rPr>
          <w:color w:val="ff0000"/>
          <w:highlight w:val="white"/>
        </w:rPr>
      </w:pPr>
      <w:bookmarkStart w:colFirst="0" w:colLast="0" w:name="_pet32c8h3dt4" w:id="0"/>
      <w:bookmarkEnd w:id="0"/>
      <w:r w:rsidDel="00000000" w:rsidR="00000000" w:rsidRPr="00000000">
        <w:rPr>
          <w:sz w:val="36"/>
          <w:szCs w:val="36"/>
          <w:highlight w:val="white"/>
          <w:rtl w:val="0"/>
        </w:rPr>
        <w:t xml:space="preserve">Ohio TESOL</w:t>
      </w:r>
      <w:r w:rsidDel="00000000" w:rsidR="00000000" w:rsidRPr="00000000">
        <w:rPr>
          <w:sz w:val="36"/>
          <w:szCs w:val="36"/>
          <w:highlight w:val="white"/>
          <w:vertAlign w:val="superscript"/>
        </w:rPr>
        <w:footnoteReference w:customMarkFollows="0" w:id="0"/>
      </w:r>
      <w:r w:rsidDel="00000000" w:rsidR="00000000" w:rsidRPr="00000000">
        <w:rPr>
          <w:sz w:val="36"/>
          <w:szCs w:val="36"/>
          <w:highlight w:val="white"/>
          <w:rtl w:val="0"/>
        </w:rPr>
        <w:t xml:space="preserve"> Guidance Template for Individuals to Comment on the ESEA Waiver Request and Proposed ESSA Amendments - May 2026</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294341</wp:posOffset>
            </wp:positionH>
            <wp:positionV relativeFrom="paragraph">
              <wp:posOffset>114300</wp:posOffset>
            </wp:positionV>
            <wp:extent cx="1614488" cy="871927"/>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14488" cy="871927"/>
                    </a:xfrm>
                    <a:prstGeom prst="rect"/>
                    <a:ln/>
                  </pic:spPr>
                </pic:pic>
              </a:graphicData>
            </a:graphic>
          </wp:anchor>
        </w:drawing>
      </w:r>
    </w:p>
    <w:p w:rsidR="00000000" w:rsidDel="00000000" w:rsidP="00000000" w:rsidRDefault="00000000" w:rsidRPr="00000000" w14:paraId="00000002">
      <w:pPr>
        <w:rPr>
          <w:color w:val="ff0000"/>
        </w:rPr>
      </w:pPr>
      <w:r w:rsidDel="00000000" w:rsidR="00000000" w:rsidRPr="00000000">
        <w:rPr>
          <w:rtl w:val="0"/>
        </w:rPr>
      </w:r>
    </w:p>
    <w:p w:rsidR="00000000" w:rsidDel="00000000" w:rsidP="00000000" w:rsidRDefault="00000000" w:rsidRPr="00000000" w14:paraId="00000003">
      <w:pPr>
        <w:spacing w:after="160" w:lineRule="auto"/>
        <w:ind w:left="0" w:firstLine="0"/>
        <w:rPr>
          <w:sz w:val="24"/>
          <w:szCs w:val="24"/>
        </w:rPr>
      </w:pPr>
      <w:r w:rsidDel="00000000" w:rsidR="00000000" w:rsidRPr="00000000">
        <w:rPr>
          <w:sz w:val="24"/>
          <w:szCs w:val="24"/>
          <w:rtl w:val="0"/>
        </w:rPr>
        <w:t xml:space="preserve">To Whom It May Concern:</w:t>
      </w:r>
    </w:p>
    <w:p w:rsidR="00000000" w:rsidDel="00000000" w:rsidP="00000000" w:rsidRDefault="00000000" w:rsidRPr="00000000" w14:paraId="00000004">
      <w:pPr>
        <w:spacing w:after="160" w:lineRule="auto"/>
        <w:ind w:left="0" w:firstLine="720"/>
        <w:rPr>
          <w:b w:val="1"/>
          <w:bCs w:val="1"/>
          <w:color w:val="1155cc"/>
          <w:sz w:val="24"/>
          <w:szCs w:val="24"/>
        </w:rPr>
      </w:pPr>
      <w:r w:rsidDel="00000000" w:rsidR="00000000" w:rsidRPr="00000000">
        <w:rPr>
          <w:b w:val="1"/>
          <w:bCs w:val="1"/>
          <w:color w:val="1155cc"/>
          <w:sz w:val="24"/>
          <w:szCs w:val="24"/>
          <w:rtl w:val="0"/>
        </w:rPr>
        <w:t xml:space="preserve">[describe your role, position, etc or interest as it relates to education]</w:t>
      </w:r>
    </w:p>
    <w:p w:rsidR="00000000" w:rsidDel="00000000" w:rsidP="00000000" w:rsidRDefault="00000000" w:rsidRPr="00000000" w14:paraId="00000005">
      <w:pPr>
        <w:spacing w:after="160" w:lineRule="auto"/>
        <w:ind w:left="0" w:firstLine="720"/>
        <w:rPr>
          <w:sz w:val="24"/>
          <w:szCs w:val="24"/>
        </w:rPr>
      </w:pPr>
      <w:r w:rsidDel="00000000" w:rsidR="00000000" w:rsidRPr="00000000">
        <w:rPr>
          <w:sz w:val="24"/>
          <w:szCs w:val="24"/>
          <w:rtl w:val="0"/>
        </w:rPr>
        <w:t xml:space="preserve">I am opposed</w:t>
      </w:r>
      <w:r w:rsidDel="00000000" w:rsidR="00000000" w:rsidRPr="00000000">
        <w:rPr>
          <w:sz w:val="24"/>
          <w:szCs w:val="24"/>
          <w:rtl w:val="0"/>
        </w:rPr>
        <w:t xml:space="preserve"> to the proposed ESEA Waiver Request submitted by the Ohio Department of Education and Workforce (DEW) in April 2026. While the Department frames these requests as "strategic flexibility" to reduce "bureaucracy," we believe these changes will systematically dismantle essential guardrails that ensure English learners receive the specialized resources for their education that Congress has authorized. If the statutory requirements for English Learners are removed, </w:t>
      </w:r>
      <w:r w:rsidDel="00000000" w:rsidR="00000000" w:rsidRPr="00000000">
        <w:rPr>
          <w:b w:val="1"/>
          <w:bCs w:val="1"/>
          <w:color w:val="1155cc"/>
          <w:sz w:val="24"/>
          <w:szCs w:val="24"/>
          <w:rtl w:val="0"/>
        </w:rPr>
        <w:t xml:space="preserve">[describe what you think will happen specifically in your local context or setting]</w:t>
      </w:r>
      <w:r w:rsidDel="00000000" w:rsidR="00000000" w:rsidRPr="00000000">
        <w:rPr>
          <w:rtl w:val="0"/>
        </w:rPr>
      </w:r>
    </w:p>
    <w:p w:rsidR="00000000" w:rsidDel="00000000" w:rsidP="00000000" w:rsidRDefault="00000000" w:rsidRPr="00000000" w14:paraId="00000006">
      <w:pPr>
        <w:spacing w:after="160" w:lineRule="auto"/>
        <w:ind w:left="0" w:firstLine="720"/>
        <w:rPr>
          <w:sz w:val="24"/>
          <w:szCs w:val="24"/>
        </w:rPr>
      </w:pPr>
      <w:r w:rsidDel="00000000" w:rsidR="00000000" w:rsidRPr="00000000">
        <w:rPr>
          <w:b w:val="1"/>
          <w:bCs w:val="1"/>
          <w:sz w:val="24"/>
          <w:szCs w:val="24"/>
          <w:rtl w:val="0"/>
        </w:rPr>
        <w:t xml:space="preserve">I oppose this waiver request for the following reasons</w:t>
      </w:r>
      <w:r w:rsidDel="00000000" w:rsidR="00000000" w:rsidRPr="00000000">
        <w:rPr>
          <w:sz w:val="24"/>
          <w:szCs w:val="24"/>
          <w:rtl w:val="0"/>
        </w:rPr>
        <w:t xml:space="preserve">:</w:t>
      </w:r>
    </w:p>
    <w:p w:rsidR="00000000" w:rsidDel="00000000" w:rsidP="00000000" w:rsidRDefault="00000000" w:rsidRPr="00000000" w14:paraId="00000007">
      <w:pPr>
        <w:numPr>
          <w:ilvl w:val="0"/>
          <w:numId w:val="1"/>
        </w:numPr>
        <w:spacing w:after="160" w:lineRule="auto"/>
        <w:ind w:left="720" w:hanging="360"/>
        <w:rPr>
          <w:b w:val="1"/>
          <w:bCs w:val="1"/>
          <w:sz w:val="24"/>
          <w:szCs w:val="24"/>
        </w:rPr>
      </w:pPr>
      <w:r w:rsidDel="00000000" w:rsidR="00000000" w:rsidRPr="00000000">
        <w:rPr>
          <w:b w:val="1"/>
          <w:bCs w:val="1"/>
          <w:sz w:val="24"/>
          <w:szCs w:val="24"/>
          <w:rtl w:val="0"/>
        </w:rPr>
        <w:t xml:space="preserve">The waiver seeks to eliminate the requirement that LEAs spend Title III-A funds across three critical pillars.</w:t>
      </w:r>
    </w:p>
    <w:p w:rsidR="00000000" w:rsidDel="00000000" w:rsidP="00000000" w:rsidRDefault="00000000" w:rsidRPr="00000000" w14:paraId="00000008">
      <w:pPr>
        <w:spacing w:after="160" w:lineRule="auto"/>
        <w:ind w:firstLine="720"/>
        <w:rPr>
          <w:sz w:val="24"/>
          <w:szCs w:val="24"/>
        </w:rPr>
      </w:pPr>
      <w:r w:rsidDel="00000000" w:rsidR="00000000" w:rsidRPr="00000000">
        <w:rPr>
          <w:sz w:val="24"/>
          <w:szCs w:val="24"/>
          <w:rtl w:val="0"/>
        </w:rPr>
        <w:t xml:space="preserve">These pillars are academic supports, professional development, and parent engagement. The Department argues that some allocations are "too small" to be split. However, for an EL student, academic success cannot be decoupled from family engagement or their teacher’s specialized training. Each of these pillars is important because </w:t>
      </w:r>
      <w:r w:rsidDel="00000000" w:rsidR="00000000" w:rsidRPr="00000000">
        <w:rPr>
          <w:b w:val="1"/>
          <w:bCs w:val="1"/>
          <w:color w:val="1155cc"/>
          <w:sz w:val="24"/>
          <w:szCs w:val="24"/>
          <w:rtl w:val="0"/>
        </w:rPr>
        <w:t xml:space="preserve">[provide reasons or a personal example].</w:t>
      </w:r>
      <w:r w:rsidDel="00000000" w:rsidR="00000000" w:rsidRPr="00000000">
        <w:rPr>
          <w:rtl w:val="0"/>
        </w:rPr>
      </w:r>
    </w:p>
    <w:p w:rsidR="00000000" w:rsidDel="00000000" w:rsidP="00000000" w:rsidRDefault="00000000" w:rsidRPr="00000000" w14:paraId="00000009">
      <w:pPr>
        <w:numPr>
          <w:ilvl w:val="0"/>
          <w:numId w:val="1"/>
        </w:numPr>
        <w:spacing w:after="160" w:lineRule="auto"/>
        <w:ind w:left="720" w:hanging="360"/>
        <w:rPr>
          <w:b w:val="1"/>
          <w:bCs w:val="1"/>
          <w:sz w:val="24"/>
          <w:szCs w:val="24"/>
        </w:rPr>
      </w:pPr>
      <w:r w:rsidDel="00000000" w:rsidR="00000000" w:rsidRPr="00000000">
        <w:rPr>
          <w:b w:val="1"/>
          <w:bCs w:val="1"/>
          <w:sz w:val="24"/>
          <w:szCs w:val="24"/>
          <w:rtl w:val="0"/>
        </w:rPr>
        <w:t xml:space="preserve">The request would allow Ohio to combine funds from Title II-A, III-A, IV-A, and IV-B as if they were a single block grant, removing the guarantee that money will still reach the programs for students who need it most.</w:t>
      </w:r>
    </w:p>
    <w:p w:rsidR="00000000" w:rsidDel="00000000" w:rsidP="00000000" w:rsidRDefault="00000000" w:rsidRPr="00000000" w14:paraId="0000000A">
      <w:pPr>
        <w:spacing w:after="160" w:lineRule="auto"/>
        <w:ind w:firstLine="720"/>
        <w:rPr>
          <w:sz w:val="24"/>
          <w:szCs w:val="24"/>
        </w:rPr>
      </w:pPr>
      <w:r w:rsidDel="00000000" w:rsidR="00000000" w:rsidRPr="00000000">
        <w:rPr>
          <w:sz w:val="24"/>
          <w:szCs w:val="24"/>
          <w:rtl w:val="0"/>
        </w:rPr>
        <w:t xml:space="preserve">The state claims this will prevent "fragmented, program-specific activities.” In reality, these "silos" are the only mechanism ensuring that funds intended for English language acquisition are not diverted to general state priorities like AI preparedness or workforce initiatives. </w:t>
      </w:r>
      <w:r w:rsidDel="00000000" w:rsidR="00000000" w:rsidRPr="00000000">
        <w:rPr>
          <w:b w:val="1"/>
          <w:bCs w:val="1"/>
          <w:color w:val="1155cc"/>
          <w:sz w:val="24"/>
          <w:szCs w:val="24"/>
          <w:rtl w:val="0"/>
        </w:rPr>
        <w:t xml:space="preserve">[explain why you think the funding for each of these Title areas should remain separate]</w:t>
      </w:r>
      <w:r w:rsidDel="00000000" w:rsidR="00000000" w:rsidRPr="00000000">
        <w:rPr>
          <w:rtl w:val="0"/>
        </w:rPr>
      </w:r>
    </w:p>
    <w:p w:rsidR="00000000" w:rsidDel="00000000" w:rsidP="00000000" w:rsidRDefault="00000000" w:rsidRPr="00000000" w14:paraId="0000000B">
      <w:pPr>
        <w:numPr>
          <w:ilvl w:val="0"/>
          <w:numId w:val="1"/>
        </w:numPr>
        <w:spacing w:after="160" w:lineRule="auto"/>
        <w:ind w:left="720" w:hanging="360"/>
        <w:rPr>
          <w:u w:val="none"/>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b w:val="1"/>
          <w:bCs w:val="1"/>
          <w:sz w:val="24"/>
          <w:szCs w:val="24"/>
          <w:rtl w:val="0"/>
        </w:rPr>
        <w:t xml:space="preserve">The waiver request seeks to decrease the amount of weight given to the ELP Improvement Measure on the state report card.</w:t>
      </w:r>
    </w:p>
    <w:p w:rsidR="00000000" w:rsidDel="00000000" w:rsidP="00000000" w:rsidRDefault="00000000" w:rsidRPr="00000000" w14:paraId="0000000C">
      <w:pPr>
        <w:spacing w:after="160" w:lineRule="auto"/>
        <w:ind w:left="0" w:firstLine="720"/>
        <w:rPr>
          <w:sz w:val="24"/>
          <w:szCs w:val="24"/>
        </w:rPr>
      </w:pPr>
      <w:r w:rsidDel="00000000" w:rsidR="00000000" w:rsidRPr="00000000">
        <w:rPr>
          <w:sz w:val="24"/>
          <w:szCs w:val="24"/>
          <w:rtl w:val="0"/>
        </w:rPr>
        <w:t xml:space="preserve">Weakening those weights (from 13.6, 8 and 5.8% across the grade bands to 4, 2 and 1% respectively) will undoubtedly allow districts and schools to place less emphasis on academic success for ELs if the ELP Improvement Measure were to be decreased in this way. </w:t>
      </w:r>
      <w:r w:rsidDel="00000000" w:rsidR="00000000" w:rsidRPr="00000000">
        <w:rPr>
          <w:b w:val="1"/>
          <w:bCs w:val="1"/>
          <w:color w:val="1155cc"/>
          <w:sz w:val="24"/>
          <w:szCs w:val="24"/>
          <w:rtl w:val="0"/>
        </w:rPr>
        <w:t xml:space="preserve">[explain how you have seen this, or provide details or a personal story]</w:t>
      </w:r>
      <w:r w:rsidDel="00000000" w:rsidR="00000000" w:rsidRPr="00000000">
        <w:rPr>
          <w:rtl w:val="0"/>
        </w:rPr>
      </w:r>
    </w:p>
    <w:p w:rsidR="00000000" w:rsidDel="00000000" w:rsidP="00000000" w:rsidRDefault="00000000" w:rsidRPr="00000000" w14:paraId="0000000D">
      <w:pPr>
        <w:spacing w:after="160" w:lineRule="auto"/>
        <w:ind w:left="0" w:firstLine="720"/>
        <w:rPr>
          <w:color w:val="1155cc"/>
          <w:sz w:val="23"/>
          <w:szCs w:val="23"/>
          <w:u w:val="single"/>
        </w:rPr>
      </w:pPr>
      <w:r w:rsidDel="00000000" w:rsidR="00000000" w:rsidRPr="00000000">
        <w:rPr>
          <w:sz w:val="24"/>
          <w:szCs w:val="24"/>
          <w:rtl w:val="0"/>
        </w:rPr>
        <w:t xml:space="preserve">Ohio’s vision is to ensure students are "prepared for success in the real world." However, for English learners, that success depends on statutory protections, not administrative discretion. The proposed waiver relies on the hope that LEAs will voluntarily prioritize EL needs once the legal obligation to do so is removed. I urge the Department to maintain the existing statutory requirements for Title III-A and Title IV-A funds.</w:t>
      </w: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sz w:val="24"/>
          <w:szCs w:val="24"/>
          <w:rtl w:val="0"/>
        </w:rPr>
        <w:t xml:space="preserve"> </w:t>
      </w:r>
    </w:p>
    <w:p w:rsidR="00000000" w:rsidDel="00000000" w:rsidP="00000000" w:rsidRDefault="00000000" w:rsidRPr="00000000" w14:paraId="0000000F">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1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Ohio TESOL is a statewide professional organization founded in 1977 that provides professional representation, resources, and expertise in support of institutions and individuals dedicated to the education of learners for whom English is a non-native language. The acronym TESOL stands for “teachers of English to speakers of other languages.” Ohio TESOL, a branch of TESOL International, supports the education of multilingual learners – and school staff who support them – through professional development, advocacy, resources, and networking.</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